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5E" w:rsidRPr="00E63C00" w:rsidRDefault="00CD701D" w:rsidP="00E63C00">
      <w:pPr>
        <w:widowControl/>
        <w:jc w:val="center"/>
        <w:rPr>
          <w:rFonts w:ascii="Times New Roman" w:hAnsi="Times New Roman"/>
          <w:b/>
          <w:szCs w:val="24"/>
        </w:rPr>
      </w:pPr>
      <w:bookmarkStart w:id="0" w:name="_GoBack"/>
      <w:bookmarkEnd w:id="0"/>
      <w:r w:rsidRPr="00E63C00">
        <w:rPr>
          <w:rFonts w:ascii="Times New Roman" w:hAnsi="Times New Roman"/>
          <w:b/>
          <w:szCs w:val="24"/>
        </w:rPr>
        <w:t>INDEPENDENT BANK CO</w:t>
      </w:r>
      <w:r w:rsidR="004C0623">
        <w:rPr>
          <w:rFonts w:ascii="Times New Roman" w:hAnsi="Times New Roman"/>
          <w:b/>
          <w:szCs w:val="24"/>
        </w:rPr>
        <w:t>RPORATION</w:t>
      </w:r>
    </w:p>
    <w:p w:rsidR="00CD701D" w:rsidRPr="00E63C00" w:rsidRDefault="00CD701D" w:rsidP="00E63C00">
      <w:pPr>
        <w:widowControl/>
        <w:jc w:val="center"/>
        <w:rPr>
          <w:rFonts w:ascii="Times New Roman" w:hAnsi="Times New Roman"/>
          <w:b/>
          <w:szCs w:val="24"/>
        </w:rPr>
      </w:pPr>
    </w:p>
    <w:p w:rsidR="00C01A5E" w:rsidRDefault="00C01A5E" w:rsidP="00E63C00">
      <w:pPr>
        <w:widowControl/>
        <w:jc w:val="center"/>
        <w:rPr>
          <w:rFonts w:ascii="Times New Roman" w:hAnsi="Times New Roman"/>
          <w:b/>
          <w:sz w:val="20"/>
        </w:rPr>
      </w:pPr>
      <w:r>
        <w:rPr>
          <w:rFonts w:ascii="Times New Roman" w:hAnsi="Times New Roman"/>
          <w:b/>
          <w:sz w:val="20"/>
        </w:rPr>
        <w:t>INSIDER TRADING</w:t>
      </w:r>
      <w:r w:rsidR="00E63C00">
        <w:rPr>
          <w:rFonts w:ascii="Times New Roman" w:hAnsi="Times New Roman"/>
          <w:b/>
          <w:sz w:val="20"/>
        </w:rPr>
        <w:t xml:space="preserve"> POLICY; PROHIBITED TRANSACTIONS</w:t>
      </w:r>
    </w:p>
    <w:p w:rsidR="00C01A5E" w:rsidRDefault="00C01A5E" w:rsidP="00E63C00">
      <w:pPr>
        <w:widowControl/>
        <w:jc w:val="center"/>
        <w:rPr>
          <w:rFonts w:ascii="Times New Roman" w:hAnsi="Times New Roman"/>
          <w:sz w:val="20"/>
        </w:rPr>
      </w:pPr>
    </w:p>
    <w:p w:rsidR="00C01A5E" w:rsidRDefault="00C01A5E" w:rsidP="00E63C00">
      <w:pPr>
        <w:pStyle w:val="BodyText"/>
        <w:tabs>
          <w:tab w:val="left" w:pos="540"/>
        </w:tabs>
        <w:rPr>
          <w:sz w:val="20"/>
        </w:rPr>
      </w:pPr>
      <w:r>
        <w:rPr>
          <w:b/>
          <w:sz w:val="20"/>
        </w:rPr>
        <w:tab/>
        <w:t xml:space="preserve">Purpose:  </w:t>
      </w:r>
      <w:r>
        <w:rPr>
          <w:sz w:val="20"/>
        </w:rPr>
        <w:t xml:space="preserve">To prevent violations of the federal securities laws as a result of (1) buying or selling the </w:t>
      </w:r>
      <w:r w:rsidR="00CD701D">
        <w:rPr>
          <w:sz w:val="20"/>
        </w:rPr>
        <w:t>Company</w:t>
      </w:r>
      <w:r w:rsidR="00E63C00">
        <w:rPr>
          <w:sz w:val="20"/>
        </w:rPr>
        <w:t>'</w:t>
      </w:r>
      <w:r>
        <w:rPr>
          <w:sz w:val="20"/>
        </w:rPr>
        <w:t xml:space="preserve">s securities or (2) disclosing non-public </w:t>
      </w:r>
      <w:r w:rsidR="00CD701D">
        <w:rPr>
          <w:sz w:val="20"/>
        </w:rPr>
        <w:t>Company</w:t>
      </w:r>
      <w:r>
        <w:rPr>
          <w:sz w:val="20"/>
        </w:rPr>
        <w:t xml:space="preserve"> information.  Violations can result in both personal and </w:t>
      </w:r>
      <w:r w:rsidR="00CD701D">
        <w:rPr>
          <w:sz w:val="20"/>
        </w:rPr>
        <w:t>Company</w:t>
      </w:r>
      <w:r>
        <w:rPr>
          <w:sz w:val="20"/>
        </w:rPr>
        <w:t xml:space="preserve"> liability.</w:t>
      </w:r>
      <w:r w:rsidR="00E63C00">
        <w:rPr>
          <w:sz w:val="20"/>
        </w:rPr>
        <w:t xml:space="preserve">  This Policy also prohibits directors and Section 16 officers from pledging Company securities as collateral for loans or hedging their economic interest in the Compan</w:t>
      </w:r>
      <w:r w:rsidR="00CA6179">
        <w:rPr>
          <w:sz w:val="20"/>
        </w:rPr>
        <w:t>y'</w:t>
      </w:r>
      <w:r w:rsidR="00E63C00">
        <w:rPr>
          <w:sz w:val="20"/>
        </w:rPr>
        <w:t>s securities.</w:t>
      </w:r>
    </w:p>
    <w:p w:rsidR="00C01A5E" w:rsidRDefault="00C01A5E" w:rsidP="00E63C00">
      <w:pPr>
        <w:widowControl/>
        <w:rPr>
          <w:rFonts w:ascii="Times New Roman" w:hAnsi="Times New Roman"/>
          <w:sz w:val="20"/>
        </w:rPr>
      </w:pPr>
    </w:p>
    <w:p w:rsidR="00C01A5E" w:rsidRDefault="00C01A5E" w:rsidP="004C0623">
      <w:pPr>
        <w:widowControl/>
        <w:tabs>
          <w:tab w:val="center" w:pos="4680"/>
        </w:tabs>
        <w:jc w:val="center"/>
        <w:rPr>
          <w:rFonts w:ascii="Times New Roman" w:hAnsi="Times New Roman"/>
          <w:sz w:val="20"/>
        </w:rPr>
      </w:pPr>
      <w:r>
        <w:rPr>
          <w:rFonts w:ascii="Times New Roman" w:hAnsi="Times New Roman"/>
          <w:b/>
          <w:sz w:val="20"/>
        </w:rPr>
        <w:t>Overview</w:t>
      </w:r>
    </w:p>
    <w:p w:rsidR="00C01A5E" w:rsidRDefault="00C01A5E" w:rsidP="00E63C00">
      <w:pPr>
        <w:widowControl/>
        <w:jc w:val="both"/>
        <w:rPr>
          <w:rFonts w:ascii="Times New Roman" w:hAnsi="Times New Roman"/>
          <w:sz w:val="20"/>
        </w:rPr>
      </w:pPr>
    </w:p>
    <w:p w:rsidR="00C01A5E" w:rsidRDefault="00C01A5E" w:rsidP="00E63C00">
      <w:pPr>
        <w:pStyle w:val="BodyTextIndent"/>
      </w:pPr>
      <w:r>
        <w:t xml:space="preserve">As a </w:t>
      </w:r>
      <w:r w:rsidR="00766F79">
        <w:t xml:space="preserve">director, officer or </w:t>
      </w:r>
      <w:r w:rsidR="00CD701D">
        <w:t>employee</w:t>
      </w:r>
      <w:r>
        <w:t xml:space="preserve"> of </w:t>
      </w:r>
      <w:r w:rsidR="00CD701D">
        <w:t>Independent Bank Corporation</w:t>
      </w:r>
      <w:r>
        <w:t xml:space="preserve">, you may, from time to time, become aware of certain information and events not otherwise known by the public.  The federal securities laws prohibit individuals with access to material information which has not been publicly disseminated, absorbed and evaluated (commonly referred to as </w:t>
      </w:r>
      <w:r w:rsidR="00E63C00">
        <w:t>"</w:t>
      </w:r>
      <w:r>
        <w:t>Inside Information</w:t>
      </w:r>
      <w:r w:rsidR="00E63C00">
        <w:t>"</w:t>
      </w:r>
      <w:r>
        <w:t xml:space="preserve">) from:  (1) engaging in transactions in the </w:t>
      </w:r>
      <w:r w:rsidR="00CD701D">
        <w:t>Company</w:t>
      </w:r>
      <w:r w:rsidR="00E63C00">
        <w:t>'</w:t>
      </w:r>
      <w:r>
        <w:t>s securities without disclosing such Inside Information; or (2) divulging Inside Information to enable others to trade on such information.  Information should be treated as material if it would affect a reasonable investor</w:t>
      </w:r>
      <w:r w:rsidR="00E63C00">
        <w:t>'</w:t>
      </w:r>
      <w:r>
        <w:t xml:space="preserve">s decision to buy or sell the </w:t>
      </w:r>
      <w:r w:rsidR="00CD701D">
        <w:t>Company</w:t>
      </w:r>
      <w:r w:rsidR="00E63C00">
        <w:t>'</w:t>
      </w:r>
      <w:r>
        <w:t xml:space="preserve">s stock.  If news or events about the </w:t>
      </w:r>
      <w:r w:rsidR="00CD701D">
        <w:t>Company</w:t>
      </w:r>
      <w:r>
        <w:t xml:space="preserve"> to any extent motivates your thoughts of buying or selling the </w:t>
      </w:r>
      <w:r w:rsidR="00CD701D">
        <w:t>Company</w:t>
      </w:r>
      <w:r w:rsidR="00E63C00">
        <w:t>'</w:t>
      </w:r>
      <w:r>
        <w:t xml:space="preserve">s stock, that news should be considered material.  </w:t>
      </w:r>
    </w:p>
    <w:p w:rsidR="00C01A5E" w:rsidRDefault="00C01A5E" w:rsidP="00E63C00">
      <w:pPr>
        <w:widowControl/>
        <w:jc w:val="both"/>
        <w:rPr>
          <w:rFonts w:ascii="Times New Roman" w:hAnsi="Times New Roman"/>
          <w:sz w:val="20"/>
        </w:rPr>
      </w:pPr>
    </w:p>
    <w:p w:rsidR="00C01A5E" w:rsidRDefault="00C01A5E" w:rsidP="00E63C00">
      <w:pPr>
        <w:pStyle w:val="BodyTextIndent"/>
      </w:pPr>
      <w:r>
        <w:t xml:space="preserve">If you buy or sell the </w:t>
      </w:r>
      <w:r w:rsidR="00CD701D">
        <w:t>Company</w:t>
      </w:r>
      <w:r w:rsidR="00E63C00">
        <w:t>'</w:t>
      </w:r>
      <w:r>
        <w:t>s securities while in the possession of Inside Information you will be subject to private lawsuits for damages or to civil or criminal proceedings by the Securities and Exchange Commission (</w:t>
      </w:r>
      <w:r w:rsidR="00E63C00">
        <w:t>"</w:t>
      </w:r>
      <w:r>
        <w:t>SEC</w:t>
      </w:r>
      <w:r w:rsidR="00E63C00">
        <w:t>"</w:t>
      </w:r>
      <w:r>
        <w:t xml:space="preserve">). Liability arising from such violations is often significant.  For instance, the SEC is authorized to seek civil money damages of up to three times the profit gained or loss avoided through unlawful insider trading.  These laws also apply to any information you may obtain about suppliers, customers, or other entities with whom the </w:t>
      </w:r>
      <w:r w:rsidR="00CD701D">
        <w:t>Company</w:t>
      </w:r>
      <w:r>
        <w:t xml:space="preserve"> does business. You are under the same legal obligation with respect to that information to refrain from trading on Inside Information and from </w:t>
      </w:r>
      <w:r w:rsidR="00E63C00">
        <w:t>"</w:t>
      </w:r>
      <w:r>
        <w:t>tipping</w:t>
      </w:r>
      <w:r w:rsidR="00E63C00">
        <w:t>"</w:t>
      </w:r>
      <w:r>
        <w:t xml:space="preserve"> others.</w:t>
      </w:r>
    </w:p>
    <w:p w:rsidR="00C01A5E" w:rsidRDefault="00C01A5E" w:rsidP="00E63C00">
      <w:pPr>
        <w:widowControl/>
        <w:jc w:val="both"/>
        <w:rPr>
          <w:rFonts w:ascii="Times New Roman" w:hAnsi="Times New Roman"/>
          <w:sz w:val="20"/>
        </w:rPr>
      </w:pPr>
    </w:p>
    <w:p w:rsidR="00C01A5E" w:rsidRDefault="00766F79" w:rsidP="00E63C00">
      <w:pPr>
        <w:widowControl/>
        <w:ind w:firstLine="720"/>
        <w:jc w:val="both"/>
        <w:rPr>
          <w:rFonts w:ascii="Times New Roman" w:hAnsi="Times New Roman"/>
          <w:sz w:val="20"/>
        </w:rPr>
      </w:pPr>
      <w:r>
        <w:rPr>
          <w:rFonts w:ascii="Times New Roman" w:hAnsi="Times New Roman"/>
          <w:sz w:val="20"/>
        </w:rPr>
        <w:t xml:space="preserve">Each director, officer and employee </w:t>
      </w:r>
      <w:r w:rsidR="00C01A5E">
        <w:rPr>
          <w:rFonts w:ascii="Times New Roman" w:hAnsi="Times New Roman"/>
          <w:sz w:val="20"/>
        </w:rPr>
        <w:t>should take every reasonable effort to comply with the following guidelines to avoid liability and, equally important, the appearance of any impropriety.</w:t>
      </w:r>
    </w:p>
    <w:p w:rsidR="00C01A5E" w:rsidRDefault="00C01A5E" w:rsidP="00E63C00">
      <w:pPr>
        <w:widowControl/>
        <w:jc w:val="both"/>
        <w:rPr>
          <w:rFonts w:ascii="Times New Roman" w:hAnsi="Times New Roman"/>
          <w:sz w:val="20"/>
        </w:rPr>
      </w:pPr>
    </w:p>
    <w:p w:rsidR="00C01A5E" w:rsidRDefault="00C01A5E" w:rsidP="00E63C00">
      <w:pPr>
        <w:widowControl/>
        <w:tabs>
          <w:tab w:val="center" w:pos="4680"/>
        </w:tabs>
        <w:jc w:val="both"/>
        <w:rPr>
          <w:rFonts w:ascii="Times New Roman" w:hAnsi="Times New Roman"/>
          <w:b/>
          <w:sz w:val="20"/>
        </w:rPr>
      </w:pPr>
      <w:r>
        <w:rPr>
          <w:rFonts w:ascii="Times New Roman" w:hAnsi="Times New Roman"/>
          <w:sz w:val="20"/>
        </w:rPr>
        <w:tab/>
      </w:r>
      <w:r w:rsidR="009C4F3D">
        <w:rPr>
          <w:rFonts w:ascii="Times New Roman" w:hAnsi="Times New Roman"/>
          <w:b/>
          <w:sz w:val="20"/>
        </w:rPr>
        <w:t xml:space="preserve">Independent Bank </w:t>
      </w:r>
      <w:r w:rsidR="004C0623">
        <w:rPr>
          <w:rFonts w:ascii="Times New Roman" w:hAnsi="Times New Roman"/>
          <w:b/>
          <w:sz w:val="20"/>
        </w:rPr>
        <w:t xml:space="preserve">Corporation </w:t>
      </w:r>
      <w:r>
        <w:rPr>
          <w:rFonts w:ascii="Times New Roman" w:hAnsi="Times New Roman"/>
          <w:b/>
          <w:sz w:val="20"/>
        </w:rPr>
        <w:t>Policy</w:t>
      </w:r>
    </w:p>
    <w:p w:rsidR="00C01A5E" w:rsidRDefault="00C01A5E" w:rsidP="00E63C00">
      <w:pPr>
        <w:widowControl/>
        <w:tabs>
          <w:tab w:val="center" w:pos="4680"/>
        </w:tabs>
        <w:jc w:val="both"/>
        <w:rPr>
          <w:rFonts w:ascii="Times New Roman" w:hAnsi="Times New Roman"/>
          <w:b/>
          <w:sz w:val="20"/>
        </w:rPr>
      </w:pPr>
    </w:p>
    <w:p w:rsidR="00C01A5E" w:rsidRDefault="00C01A5E" w:rsidP="00E63C00">
      <w:pPr>
        <w:pStyle w:val="BodyTextIndent"/>
      </w:pPr>
      <w:r>
        <w:t xml:space="preserve">While investment in the </w:t>
      </w:r>
      <w:r w:rsidR="00CD701D">
        <w:t>Company</w:t>
      </w:r>
      <w:r w:rsidR="00E63C00">
        <w:t>'</w:t>
      </w:r>
      <w:r>
        <w:t xml:space="preserve">s stock by </w:t>
      </w:r>
      <w:r w:rsidR="00766F79">
        <w:t xml:space="preserve">directors, officers and </w:t>
      </w:r>
      <w:r w:rsidR="00CD701D">
        <w:t>employee</w:t>
      </w:r>
      <w:r>
        <w:t xml:space="preserve">s is encouraged, such transactions should be made with caution and, for all directors and Section 16 officers (as are designated by the Board), with prior </w:t>
      </w:r>
      <w:r w:rsidR="00CD701D">
        <w:t>Company</w:t>
      </w:r>
      <w:r>
        <w:t xml:space="preserve"> approval.  Transactions in the </w:t>
      </w:r>
      <w:r w:rsidR="00CD701D">
        <w:t>Company</w:t>
      </w:r>
      <w:r w:rsidR="00E63C00">
        <w:t>'</w:t>
      </w:r>
      <w:r>
        <w:t>s securities should be made with the recognition of the existence of prohibitions against the use of Inside Information for one</w:t>
      </w:r>
      <w:r w:rsidR="00E63C00">
        <w:t>'</w:t>
      </w:r>
      <w:r>
        <w:t xml:space="preserve">s own profit. Obtaining approval to proceed with your intended transaction from supervisory personnel will assist in (1) preventing unlawful insider trading, (2) complying with applicable reporting requirements, and (3) avoiding the appearance of impropriety which could impair investor confidence in the </w:t>
      </w:r>
      <w:r w:rsidR="00CD701D">
        <w:t>Company</w:t>
      </w:r>
      <w:r>
        <w:t>.</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 xml:space="preserve">Please refer to the following prohibitions and guidelines when dealing in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s securities:</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1.</w:t>
      </w:r>
      <w:r>
        <w:rPr>
          <w:rFonts w:ascii="Times New Roman" w:hAnsi="Times New Roman"/>
          <w:sz w:val="20"/>
        </w:rPr>
        <w:tab/>
        <w:t xml:space="preserve">Transactions involving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securities are </w:t>
      </w:r>
      <w:r>
        <w:rPr>
          <w:rFonts w:ascii="Times New Roman" w:hAnsi="Times New Roman"/>
          <w:b/>
          <w:sz w:val="20"/>
        </w:rPr>
        <w:t>prohibited</w:t>
      </w:r>
      <w:r>
        <w:rPr>
          <w:rFonts w:ascii="Times New Roman" w:hAnsi="Times New Roman"/>
          <w:sz w:val="20"/>
        </w:rPr>
        <w:t xml:space="preserve"> if you have knowledge of material information about the </w:t>
      </w:r>
      <w:r w:rsidR="00CD701D">
        <w:rPr>
          <w:rFonts w:ascii="Times New Roman" w:hAnsi="Times New Roman"/>
          <w:sz w:val="20"/>
        </w:rPr>
        <w:t>Company</w:t>
      </w:r>
      <w:r>
        <w:rPr>
          <w:rFonts w:ascii="Times New Roman" w:hAnsi="Times New Roman"/>
          <w:sz w:val="20"/>
        </w:rPr>
        <w:t xml:space="preserve"> which has not been publicly disseminated and absorbed and evaluated by the market. In general, information should be considered </w:t>
      </w:r>
      <w:r w:rsidR="00E63C00">
        <w:rPr>
          <w:rFonts w:ascii="Times New Roman" w:hAnsi="Times New Roman"/>
          <w:sz w:val="20"/>
        </w:rPr>
        <w:t>"</w:t>
      </w:r>
      <w:r>
        <w:rPr>
          <w:rFonts w:ascii="Times New Roman" w:hAnsi="Times New Roman"/>
          <w:sz w:val="20"/>
        </w:rPr>
        <w:t>material</w:t>
      </w:r>
      <w:r w:rsidR="00E63C00">
        <w:rPr>
          <w:rFonts w:ascii="Times New Roman" w:hAnsi="Times New Roman"/>
          <w:sz w:val="20"/>
        </w:rPr>
        <w:t>"</w:t>
      </w:r>
      <w:r>
        <w:rPr>
          <w:rFonts w:ascii="Times New Roman" w:hAnsi="Times New Roman"/>
          <w:sz w:val="20"/>
        </w:rPr>
        <w:t xml:space="preserve"> if it could be expected that a reasonable investor would attach significance to the information in reaching an investment decision involving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securities.  Determining whether information is material is subjective; accordingly, we urge you to discuss such issues with designated </w:t>
      </w:r>
      <w:r w:rsidR="00CD701D">
        <w:rPr>
          <w:rFonts w:ascii="Times New Roman" w:hAnsi="Times New Roman"/>
          <w:sz w:val="20"/>
        </w:rPr>
        <w:t>Company</w:t>
      </w:r>
      <w:r>
        <w:rPr>
          <w:rFonts w:ascii="Times New Roman" w:hAnsi="Times New Roman"/>
          <w:sz w:val="20"/>
        </w:rPr>
        <w:t xml:space="preserve"> personnel.</w:t>
      </w:r>
    </w:p>
    <w:p w:rsidR="00C01A5E" w:rsidRDefault="00C01A5E" w:rsidP="00E63C00">
      <w:pPr>
        <w:widowControl/>
        <w:jc w:val="both"/>
        <w:rPr>
          <w:rFonts w:ascii="Times New Roman" w:hAnsi="Times New Roman"/>
          <w:sz w:val="20"/>
        </w:rPr>
      </w:pPr>
    </w:p>
    <w:p w:rsidR="00477126" w:rsidRDefault="00C01A5E" w:rsidP="00E63C00">
      <w:pPr>
        <w:widowControl/>
        <w:ind w:firstLine="720"/>
        <w:jc w:val="both"/>
        <w:rPr>
          <w:rFonts w:ascii="Times New Roman" w:hAnsi="Times New Roman"/>
          <w:sz w:val="20"/>
        </w:rPr>
      </w:pPr>
      <w:r>
        <w:rPr>
          <w:rFonts w:ascii="Times New Roman" w:hAnsi="Times New Roman"/>
          <w:sz w:val="20"/>
        </w:rPr>
        <w:t>2.</w:t>
      </w:r>
      <w:r>
        <w:rPr>
          <w:rFonts w:ascii="Times New Roman" w:hAnsi="Times New Roman"/>
          <w:sz w:val="20"/>
        </w:rPr>
        <w:tab/>
      </w:r>
      <w:r w:rsidR="00477126">
        <w:rPr>
          <w:rFonts w:ascii="Times New Roman" w:hAnsi="Times New Roman"/>
          <w:sz w:val="20"/>
        </w:rPr>
        <w:t xml:space="preserve">During the period commencing fourteen days prior to the end of each fiscal quarter of the Company and ending on the date that is two days after the public release of the Company's quarterly or annual financial results, as applicable, transactions involving the Company's securities are </w:t>
      </w:r>
      <w:r w:rsidR="00477126">
        <w:rPr>
          <w:rFonts w:ascii="Times New Roman" w:hAnsi="Times New Roman"/>
          <w:b/>
          <w:sz w:val="20"/>
        </w:rPr>
        <w:t>prohibited,</w:t>
      </w:r>
      <w:r w:rsidR="00477126">
        <w:rPr>
          <w:rFonts w:ascii="Times New Roman" w:hAnsi="Times New Roman"/>
          <w:sz w:val="20"/>
        </w:rPr>
        <w:t xml:space="preserve"> unless you are informed otherwise.</w:t>
      </w:r>
    </w:p>
    <w:p w:rsidR="00477126" w:rsidRDefault="00477126" w:rsidP="00E63C00">
      <w:pPr>
        <w:widowControl/>
        <w:ind w:firstLine="720"/>
        <w:jc w:val="both"/>
        <w:rPr>
          <w:rFonts w:ascii="Times New Roman" w:hAnsi="Times New Roman"/>
          <w:sz w:val="20"/>
        </w:rPr>
      </w:pPr>
    </w:p>
    <w:p w:rsidR="00C01A5E" w:rsidRDefault="00477126" w:rsidP="00E63C00">
      <w:pPr>
        <w:widowControl/>
        <w:ind w:firstLine="720"/>
        <w:jc w:val="both"/>
        <w:rPr>
          <w:rFonts w:ascii="Times New Roman" w:hAnsi="Times New Roman"/>
          <w:sz w:val="20"/>
        </w:rPr>
      </w:pPr>
      <w:r>
        <w:rPr>
          <w:rFonts w:ascii="Times New Roman" w:hAnsi="Times New Roman"/>
          <w:sz w:val="20"/>
        </w:rPr>
        <w:t>3.</w:t>
      </w:r>
      <w:r>
        <w:rPr>
          <w:rFonts w:ascii="Times New Roman" w:hAnsi="Times New Roman"/>
          <w:sz w:val="20"/>
        </w:rPr>
        <w:tab/>
      </w:r>
      <w:r w:rsidR="00C01A5E">
        <w:rPr>
          <w:rFonts w:ascii="Times New Roman" w:hAnsi="Times New Roman"/>
          <w:sz w:val="20"/>
        </w:rPr>
        <w:t xml:space="preserve">Following public disclosure of </w:t>
      </w:r>
      <w:r>
        <w:rPr>
          <w:rFonts w:ascii="Times New Roman" w:hAnsi="Times New Roman"/>
          <w:sz w:val="20"/>
        </w:rPr>
        <w:t xml:space="preserve">any </w:t>
      </w:r>
      <w:r w:rsidR="00C01A5E">
        <w:rPr>
          <w:rFonts w:ascii="Times New Roman" w:hAnsi="Times New Roman"/>
          <w:sz w:val="20"/>
        </w:rPr>
        <w:t xml:space="preserve">material information, including quarterly reports, transactions involving the </w:t>
      </w:r>
      <w:r w:rsidR="00CD701D">
        <w:rPr>
          <w:rFonts w:ascii="Times New Roman" w:hAnsi="Times New Roman"/>
          <w:sz w:val="20"/>
        </w:rPr>
        <w:t>Company</w:t>
      </w:r>
      <w:r w:rsidR="00E63C00">
        <w:rPr>
          <w:rFonts w:ascii="Times New Roman" w:hAnsi="Times New Roman"/>
          <w:sz w:val="20"/>
        </w:rPr>
        <w:t>'</w:t>
      </w:r>
      <w:r w:rsidR="00C01A5E">
        <w:rPr>
          <w:rFonts w:ascii="Times New Roman" w:hAnsi="Times New Roman"/>
          <w:sz w:val="20"/>
        </w:rPr>
        <w:t xml:space="preserve">s securities are </w:t>
      </w:r>
      <w:r w:rsidR="00C01A5E">
        <w:rPr>
          <w:rFonts w:ascii="Times New Roman" w:hAnsi="Times New Roman"/>
          <w:b/>
          <w:sz w:val="20"/>
        </w:rPr>
        <w:t>prohibited</w:t>
      </w:r>
      <w:r w:rsidR="00C01A5E">
        <w:rPr>
          <w:rFonts w:ascii="Times New Roman" w:hAnsi="Times New Roman"/>
          <w:sz w:val="20"/>
        </w:rPr>
        <w:t xml:space="preserve"> for a period of two days following such public announcement, unless you are informed otherwise.</w:t>
      </w:r>
    </w:p>
    <w:p w:rsidR="00C01A5E" w:rsidRDefault="00C01A5E" w:rsidP="00E63C00">
      <w:pPr>
        <w:widowControl/>
        <w:ind w:firstLine="720"/>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lastRenderedPageBreak/>
        <w:t>4.</w:t>
      </w:r>
      <w:r>
        <w:rPr>
          <w:rFonts w:ascii="Times New Roman" w:hAnsi="Times New Roman"/>
          <w:sz w:val="20"/>
        </w:rPr>
        <w:tab/>
        <w:t xml:space="preserve">If you are a director or Section 16 officer of the </w:t>
      </w:r>
      <w:r w:rsidR="00CD701D">
        <w:rPr>
          <w:rFonts w:ascii="Times New Roman" w:hAnsi="Times New Roman"/>
          <w:sz w:val="20"/>
        </w:rPr>
        <w:t>Company</w:t>
      </w:r>
      <w:r>
        <w:rPr>
          <w:rFonts w:ascii="Times New Roman" w:hAnsi="Times New Roman"/>
          <w:sz w:val="20"/>
        </w:rPr>
        <w:t xml:space="preserve">, transactions involving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securities are </w:t>
      </w:r>
      <w:r>
        <w:rPr>
          <w:rFonts w:ascii="Times New Roman" w:hAnsi="Times New Roman"/>
          <w:b/>
          <w:sz w:val="20"/>
        </w:rPr>
        <w:t>prohibited</w:t>
      </w:r>
      <w:r>
        <w:rPr>
          <w:rFonts w:ascii="Times New Roman" w:hAnsi="Times New Roman"/>
          <w:sz w:val="20"/>
        </w:rPr>
        <w:t xml:space="preserve"> unless you obtain the prior approval of</w:t>
      </w:r>
      <w:r w:rsidR="008C65D6">
        <w:rPr>
          <w:rFonts w:ascii="Times New Roman" w:hAnsi="Times New Roman"/>
          <w:sz w:val="20"/>
        </w:rPr>
        <w:t xml:space="preserve"> one of</w:t>
      </w:r>
      <w:r>
        <w:rPr>
          <w:rFonts w:ascii="Times New Roman" w:hAnsi="Times New Roman"/>
          <w:sz w:val="20"/>
        </w:rPr>
        <w:t xml:space="preserve"> the Administrator</w:t>
      </w:r>
      <w:r w:rsidR="008C65D6">
        <w:rPr>
          <w:rFonts w:ascii="Times New Roman" w:hAnsi="Times New Roman"/>
          <w:sz w:val="20"/>
        </w:rPr>
        <w:t>s</w:t>
      </w:r>
      <w:r>
        <w:rPr>
          <w:rFonts w:ascii="Times New Roman" w:hAnsi="Times New Roman"/>
          <w:sz w:val="20"/>
        </w:rPr>
        <w:t xml:space="preserve">, identified below.  </w:t>
      </w:r>
      <w:r>
        <w:rPr>
          <w:sz w:val="20"/>
        </w:rPr>
        <w:t>The Administrator</w:t>
      </w:r>
      <w:r w:rsidR="008C65D6">
        <w:rPr>
          <w:sz w:val="20"/>
        </w:rPr>
        <w:t>s</w:t>
      </w:r>
      <w:r>
        <w:rPr>
          <w:sz w:val="20"/>
        </w:rPr>
        <w:t xml:space="preserve"> </w:t>
      </w:r>
      <w:r w:rsidR="00766F79">
        <w:rPr>
          <w:sz w:val="20"/>
        </w:rPr>
        <w:t xml:space="preserve">may </w:t>
      </w:r>
      <w:r>
        <w:rPr>
          <w:sz w:val="20"/>
        </w:rPr>
        <w:t xml:space="preserve">consult the </w:t>
      </w:r>
      <w:r w:rsidR="00CD701D">
        <w:rPr>
          <w:sz w:val="20"/>
        </w:rPr>
        <w:t>Company</w:t>
      </w:r>
      <w:r w:rsidR="00E63C00">
        <w:rPr>
          <w:sz w:val="20"/>
        </w:rPr>
        <w:t>'</w:t>
      </w:r>
      <w:r>
        <w:rPr>
          <w:sz w:val="20"/>
        </w:rPr>
        <w:t xml:space="preserve">s </w:t>
      </w:r>
      <w:r w:rsidR="00766F79">
        <w:rPr>
          <w:sz w:val="20"/>
        </w:rPr>
        <w:t xml:space="preserve">other officers or advisors </w:t>
      </w:r>
      <w:r>
        <w:rPr>
          <w:sz w:val="20"/>
        </w:rPr>
        <w:t>prior to authorizing any transaction.</w:t>
      </w:r>
      <w:r>
        <w:rPr>
          <w:rFonts w:ascii="Times New Roman" w:hAnsi="Times New Roman"/>
          <w:sz w:val="20"/>
        </w:rPr>
        <w:t xml:space="preserve"> </w:t>
      </w:r>
    </w:p>
    <w:p w:rsidR="00C01A5E" w:rsidRDefault="007C37C9" w:rsidP="007C37C9">
      <w:pPr>
        <w:widowControl/>
        <w:tabs>
          <w:tab w:val="left" w:pos="7335"/>
        </w:tabs>
        <w:jc w:val="both"/>
        <w:rPr>
          <w:rFonts w:ascii="Times New Roman" w:hAnsi="Times New Roman"/>
          <w:sz w:val="20"/>
        </w:rPr>
      </w:pPr>
      <w:r>
        <w:rPr>
          <w:rFonts w:ascii="Times New Roman" w:hAnsi="Times New Roman"/>
          <w:sz w:val="20"/>
        </w:rPr>
        <w:tab/>
      </w:r>
    </w:p>
    <w:p w:rsidR="00C01A5E" w:rsidRDefault="00C01A5E" w:rsidP="00E63C00">
      <w:pPr>
        <w:widowControl/>
        <w:ind w:firstLine="720"/>
        <w:jc w:val="both"/>
        <w:rPr>
          <w:rFonts w:ascii="Times New Roman" w:hAnsi="Times New Roman"/>
          <w:sz w:val="20"/>
        </w:rPr>
      </w:pPr>
      <w:r>
        <w:rPr>
          <w:rFonts w:ascii="Times New Roman" w:hAnsi="Times New Roman"/>
          <w:sz w:val="20"/>
        </w:rPr>
        <w:t>5.</w:t>
      </w:r>
      <w:r>
        <w:rPr>
          <w:rFonts w:ascii="Times New Roman" w:hAnsi="Times New Roman"/>
          <w:sz w:val="20"/>
        </w:rPr>
        <w:tab/>
        <w:t xml:space="preserve">If you are not a director or Section 16 officer, during all other times you are not prohibited from trading in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securities, you may do so unless you have material inside information.  However, we urge you to exercise a great deal of caution in this regard and encourage you to contact the Administrator or designated </w:t>
      </w:r>
      <w:r w:rsidR="00CD701D">
        <w:rPr>
          <w:rFonts w:ascii="Times New Roman" w:hAnsi="Times New Roman"/>
          <w:sz w:val="20"/>
        </w:rPr>
        <w:t>Company</w:t>
      </w:r>
      <w:r>
        <w:rPr>
          <w:rFonts w:ascii="Times New Roman" w:hAnsi="Times New Roman"/>
          <w:sz w:val="20"/>
        </w:rPr>
        <w:t xml:space="preserve"> personnel prior to consummating any transaction.</w:t>
      </w:r>
    </w:p>
    <w:p w:rsidR="00C01A5E" w:rsidRDefault="00C01A5E" w:rsidP="00E63C00">
      <w:pPr>
        <w:widowControl/>
        <w:ind w:firstLine="720"/>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6.</w:t>
      </w:r>
      <w:r>
        <w:rPr>
          <w:rFonts w:ascii="Times New Roman" w:hAnsi="Times New Roman"/>
          <w:sz w:val="20"/>
        </w:rPr>
        <w:tab/>
        <w:t xml:space="preserve">During any time period during which transactions involving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securities are limited or otherwise restricted under any of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retirement plans, all such transactions by all directors and </w:t>
      </w:r>
      <w:r w:rsidR="00CD701D">
        <w:rPr>
          <w:rFonts w:ascii="Times New Roman" w:hAnsi="Times New Roman"/>
          <w:sz w:val="20"/>
        </w:rPr>
        <w:t>employee</w:t>
      </w:r>
      <w:r>
        <w:rPr>
          <w:rFonts w:ascii="Times New Roman" w:hAnsi="Times New Roman"/>
          <w:sz w:val="20"/>
        </w:rPr>
        <w:t xml:space="preserve">s are </w:t>
      </w:r>
      <w:r>
        <w:rPr>
          <w:rFonts w:ascii="Times New Roman" w:hAnsi="Times New Roman"/>
          <w:b/>
          <w:sz w:val="20"/>
        </w:rPr>
        <w:t>prohibited</w:t>
      </w:r>
      <w:r>
        <w:rPr>
          <w:rFonts w:ascii="Times New Roman" w:hAnsi="Times New Roman"/>
          <w:sz w:val="20"/>
        </w:rPr>
        <w:t>.</w:t>
      </w:r>
    </w:p>
    <w:p w:rsidR="00C01A5E" w:rsidRDefault="00C01A5E" w:rsidP="00E63C00">
      <w:pPr>
        <w:widowControl/>
        <w:jc w:val="both"/>
        <w:rPr>
          <w:rFonts w:ascii="Times New Roman" w:hAnsi="Times New Roman"/>
          <w:sz w:val="20"/>
        </w:rPr>
      </w:pPr>
    </w:p>
    <w:p w:rsidR="00C01A5E" w:rsidRDefault="00C01A5E" w:rsidP="004C0623">
      <w:pPr>
        <w:widowControl/>
        <w:tabs>
          <w:tab w:val="center" w:pos="4680"/>
        </w:tabs>
        <w:jc w:val="center"/>
        <w:rPr>
          <w:rFonts w:ascii="Times New Roman" w:hAnsi="Times New Roman"/>
          <w:sz w:val="20"/>
        </w:rPr>
      </w:pPr>
      <w:r>
        <w:rPr>
          <w:rFonts w:ascii="Times New Roman" w:hAnsi="Times New Roman"/>
          <w:b/>
          <w:sz w:val="20"/>
          <w:u w:val="single"/>
        </w:rPr>
        <w:t>Disclosure Guidelines</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 xml:space="preserve">The </w:t>
      </w:r>
      <w:r w:rsidR="00CD701D">
        <w:rPr>
          <w:rFonts w:ascii="Times New Roman" w:hAnsi="Times New Roman"/>
          <w:sz w:val="20"/>
        </w:rPr>
        <w:t>Company</w:t>
      </w:r>
      <w:r>
        <w:rPr>
          <w:rFonts w:ascii="Times New Roman" w:hAnsi="Times New Roman"/>
          <w:sz w:val="20"/>
        </w:rPr>
        <w:t xml:space="preserve"> has designated </w:t>
      </w:r>
      <w:r w:rsidR="001E7F62">
        <w:rPr>
          <w:rFonts w:ascii="Times New Roman" w:hAnsi="Times New Roman"/>
          <w:sz w:val="20"/>
        </w:rPr>
        <w:t>the Chief Financial Officer</w:t>
      </w:r>
      <w:r w:rsidR="009C4F3D">
        <w:rPr>
          <w:rFonts w:ascii="Times New Roman" w:hAnsi="Times New Roman"/>
          <w:sz w:val="20"/>
        </w:rPr>
        <w:t xml:space="preserve"> </w:t>
      </w:r>
      <w:r w:rsidR="008C65D6">
        <w:rPr>
          <w:rFonts w:ascii="Times New Roman" w:hAnsi="Times New Roman"/>
          <w:sz w:val="20"/>
        </w:rPr>
        <w:t xml:space="preserve">and the Chief Accounting Officer </w:t>
      </w:r>
      <w:r>
        <w:rPr>
          <w:rFonts w:ascii="Times New Roman" w:hAnsi="Times New Roman"/>
          <w:sz w:val="20"/>
        </w:rPr>
        <w:t xml:space="preserve">as the </w:t>
      </w:r>
      <w:r w:rsidR="00E63C00">
        <w:rPr>
          <w:rFonts w:ascii="Times New Roman" w:hAnsi="Times New Roman"/>
          <w:sz w:val="20"/>
        </w:rPr>
        <w:t>"</w:t>
      </w:r>
      <w:r>
        <w:rPr>
          <w:rFonts w:ascii="Times New Roman" w:hAnsi="Times New Roman"/>
          <w:sz w:val="20"/>
        </w:rPr>
        <w:t>Administrator</w:t>
      </w:r>
      <w:r w:rsidR="008C65D6">
        <w:rPr>
          <w:rFonts w:ascii="Times New Roman" w:hAnsi="Times New Roman"/>
          <w:sz w:val="20"/>
        </w:rPr>
        <w:t>s</w:t>
      </w:r>
      <w:r w:rsidR="009C4F3D">
        <w:rPr>
          <w:rFonts w:ascii="Times New Roman" w:hAnsi="Times New Roman"/>
          <w:sz w:val="20"/>
        </w:rPr>
        <w:t>,</w:t>
      </w:r>
      <w:r w:rsidR="00E63C00">
        <w:rPr>
          <w:rFonts w:ascii="Times New Roman" w:hAnsi="Times New Roman"/>
          <w:sz w:val="20"/>
        </w:rPr>
        <w:t>"</w:t>
      </w:r>
      <w:r>
        <w:rPr>
          <w:rFonts w:ascii="Times New Roman" w:hAnsi="Times New Roman"/>
          <w:sz w:val="20"/>
        </w:rPr>
        <w:t xml:space="preserve"> being responsible for authorizing transactions by directors and Section 16 officers regarding the disclosure of </w:t>
      </w:r>
      <w:r w:rsidR="00CD701D">
        <w:rPr>
          <w:rFonts w:ascii="Times New Roman" w:hAnsi="Times New Roman"/>
          <w:sz w:val="20"/>
        </w:rPr>
        <w:t>Company</w:t>
      </w:r>
      <w:r>
        <w:rPr>
          <w:rFonts w:ascii="Times New Roman" w:hAnsi="Times New Roman"/>
          <w:sz w:val="20"/>
        </w:rPr>
        <w:t xml:space="preserve"> information. Requests and questions from outsiders and analysts should be referred to the</w:t>
      </w:r>
      <w:r w:rsidR="00F60741">
        <w:rPr>
          <w:rFonts w:ascii="Times New Roman" w:hAnsi="Times New Roman"/>
          <w:sz w:val="20"/>
        </w:rPr>
        <w:t xml:space="preserve"> </w:t>
      </w:r>
      <w:r w:rsidR="008C65D6">
        <w:rPr>
          <w:rFonts w:ascii="Times New Roman" w:hAnsi="Times New Roman"/>
          <w:sz w:val="20"/>
        </w:rPr>
        <w:t>Chief Financial Officer</w:t>
      </w:r>
      <w:r>
        <w:rPr>
          <w:rFonts w:ascii="Times New Roman" w:hAnsi="Times New Roman"/>
          <w:sz w:val="20"/>
        </w:rPr>
        <w:t>.</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 xml:space="preserve">In discussing matters pertaining to the </w:t>
      </w:r>
      <w:r w:rsidR="00CD701D">
        <w:rPr>
          <w:rFonts w:ascii="Times New Roman" w:hAnsi="Times New Roman"/>
          <w:sz w:val="20"/>
        </w:rPr>
        <w:t>Company</w:t>
      </w:r>
      <w:r>
        <w:rPr>
          <w:rFonts w:ascii="Times New Roman" w:hAnsi="Times New Roman"/>
          <w:sz w:val="20"/>
        </w:rPr>
        <w:t>, the following guidelines should be reviewed.</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1.</w:t>
      </w:r>
      <w:r>
        <w:rPr>
          <w:rFonts w:ascii="Times New Roman" w:hAnsi="Times New Roman"/>
          <w:sz w:val="20"/>
        </w:rPr>
        <w:tab/>
        <w:t xml:space="preserve">Matters which </w:t>
      </w:r>
      <w:r>
        <w:rPr>
          <w:rFonts w:ascii="Times New Roman" w:hAnsi="Times New Roman"/>
          <w:sz w:val="20"/>
          <w:u w:val="single"/>
        </w:rPr>
        <w:t>may be discussed</w:t>
      </w:r>
      <w:r>
        <w:rPr>
          <w:rFonts w:ascii="Times New Roman" w:hAnsi="Times New Roman"/>
          <w:sz w:val="20"/>
        </w:rPr>
        <w:t xml:space="preserve"> include the following:</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(a)</w:t>
      </w:r>
      <w:r>
        <w:rPr>
          <w:rFonts w:ascii="Times New Roman" w:hAnsi="Times New Roman"/>
          <w:sz w:val="20"/>
        </w:rPr>
        <w:tab/>
        <w:t xml:space="preserve">Information that has been published and widely disseminated, such as that contained in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s annual report to shareholders, reports on Form 10-K, 10-Q, and 8-K, quarterly reports, proxy statements and press releases.</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(b)</w:t>
      </w:r>
      <w:r>
        <w:rPr>
          <w:rFonts w:ascii="Times New Roman" w:hAnsi="Times New Roman"/>
          <w:sz w:val="20"/>
        </w:rPr>
        <w:tab/>
        <w:t xml:space="preserve">General industry and economic trends such as the anticipated growth of the </w:t>
      </w:r>
      <w:r w:rsidR="00CD701D">
        <w:rPr>
          <w:rFonts w:ascii="Times New Roman" w:hAnsi="Times New Roman"/>
          <w:sz w:val="20"/>
        </w:rPr>
        <w:t>Company</w:t>
      </w:r>
      <w:r>
        <w:rPr>
          <w:rFonts w:ascii="Times New Roman" w:hAnsi="Times New Roman"/>
          <w:sz w:val="20"/>
        </w:rPr>
        <w:t xml:space="preserve"> in response to those general trends.</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(c)</w:t>
      </w:r>
      <w:r>
        <w:rPr>
          <w:rFonts w:ascii="Times New Roman" w:hAnsi="Times New Roman"/>
          <w:sz w:val="20"/>
        </w:rPr>
        <w:tab/>
        <w:t xml:space="preserve">Routine aspects of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business involving products, </w:t>
      </w:r>
      <w:r w:rsidR="00766F79">
        <w:rPr>
          <w:rFonts w:ascii="Times New Roman" w:hAnsi="Times New Roman"/>
          <w:sz w:val="20"/>
        </w:rPr>
        <w:t>services</w:t>
      </w:r>
      <w:r>
        <w:rPr>
          <w:rFonts w:ascii="Times New Roman" w:hAnsi="Times New Roman"/>
          <w:sz w:val="20"/>
        </w:rPr>
        <w:t xml:space="preserve">, </w:t>
      </w:r>
      <w:r w:rsidR="00766F79">
        <w:rPr>
          <w:rFonts w:ascii="Times New Roman" w:hAnsi="Times New Roman"/>
          <w:sz w:val="20"/>
        </w:rPr>
        <w:t xml:space="preserve">and </w:t>
      </w:r>
      <w:r w:rsidR="00CD701D">
        <w:rPr>
          <w:rFonts w:ascii="Times New Roman" w:hAnsi="Times New Roman"/>
          <w:sz w:val="20"/>
        </w:rPr>
        <w:t>employee</w:t>
      </w:r>
      <w:r>
        <w:rPr>
          <w:rFonts w:ascii="Times New Roman" w:hAnsi="Times New Roman"/>
          <w:sz w:val="20"/>
        </w:rPr>
        <w:t>s.</w:t>
      </w:r>
    </w:p>
    <w:p w:rsidR="00C01A5E" w:rsidRDefault="00C01A5E" w:rsidP="00E63C00">
      <w:pPr>
        <w:widowControl/>
        <w:jc w:val="both"/>
        <w:rPr>
          <w:rFonts w:ascii="Times New Roman" w:hAnsi="Times New Roman"/>
          <w:sz w:val="20"/>
        </w:rPr>
      </w:pPr>
    </w:p>
    <w:p w:rsidR="00C01A5E" w:rsidRDefault="00C01A5E" w:rsidP="00E63C00">
      <w:pPr>
        <w:widowControl/>
        <w:ind w:firstLine="720"/>
        <w:jc w:val="both"/>
        <w:rPr>
          <w:rFonts w:ascii="Times New Roman" w:hAnsi="Times New Roman"/>
          <w:sz w:val="20"/>
        </w:rPr>
      </w:pPr>
      <w:r>
        <w:rPr>
          <w:rFonts w:ascii="Times New Roman" w:hAnsi="Times New Roman"/>
          <w:sz w:val="20"/>
        </w:rPr>
        <w:t>2.</w:t>
      </w:r>
      <w:r>
        <w:rPr>
          <w:rFonts w:ascii="Times New Roman" w:hAnsi="Times New Roman"/>
          <w:sz w:val="20"/>
        </w:rPr>
        <w:tab/>
        <w:t xml:space="preserve">Matters which </w:t>
      </w:r>
      <w:r>
        <w:rPr>
          <w:rFonts w:ascii="Times New Roman" w:hAnsi="Times New Roman"/>
          <w:sz w:val="20"/>
          <w:u w:val="single"/>
        </w:rPr>
        <w:t>may not be discussed</w:t>
      </w:r>
      <w:r>
        <w:rPr>
          <w:rFonts w:ascii="Times New Roman" w:hAnsi="Times New Roman"/>
          <w:sz w:val="20"/>
        </w:rPr>
        <w:t>, unless they have been publicly announced and widely disseminated, include any of the following:</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(a)</w:t>
      </w:r>
      <w:r>
        <w:rPr>
          <w:rFonts w:ascii="Times New Roman" w:hAnsi="Times New Roman"/>
          <w:sz w:val="20"/>
        </w:rPr>
        <w:tab/>
        <w:t>Actual or projected</w:t>
      </w:r>
      <w:r w:rsidR="00766F79">
        <w:rPr>
          <w:rFonts w:ascii="Times New Roman" w:hAnsi="Times New Roman"/>
          <w:sz w:val="20"/>
        </w:rPr>
        <w:t xml:space="preserve"> revenue</w:t>
      </w:r>
      <w:r>
        <w:rPr>
          <w:rFonts w:ascii="Times New Roman" w:hAnsi="Times New Roman"/>
          <w:sz w:val="20"/>
        </w:rPr>
        <w:t xml:space="preserve">, earnings, </w:t>
      </w:r>
      <w:r w:rsidR="00766F79">
        <w:rPr>
          <w:rFonts w:ascii="Times New Roman" w:hAnsi="Times New Roman"/>
          <w:sz w:val="20"/>
        </w:rPr>
        <w:t xml:space="preserve">acquisitions, expansions or other </w:t>
      </w:r>
      <w:r>
        <w:rPr>
          <w:rFonts w:ascii="Times New Roman" w:hAnsi="Times New Roman"/>
          <w:sz w:val="20"/>
        </w:rPr>
        <w:t>significant</w:t>
      </w:r>
      <w:r w:rsidR="00766F79">
        <w:rPr>
          <w:rFonts w:ascii="Times New Roman" w:hAnsi="Times New Roman"/>
          <w:sz w:val="20"/>
        </w:rPr>
        <w:t xml:space="preserve"> events</w:t>
      </w:r>
      <w:r>
        <w:rPr>
          <w:rFonts w:ascii="Times New Roman" w:hAnsi="Times New Roman"/>
          <w:sz w:val="20"/>
        </w:rPr>
        <w:t>.</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(b)</w:t>
      </w:r>
      <w:r>
        <w:rPr>
          <w:rFonts w:ascii="Times New Roman" w:hAnsi="Times New Roman"/>
          <w:sz w:val="20"/>
        </w:rPr>
        <w:tab/>
        <w:t xml:space="preserve">Any action or event which had or is likely to have a significant effect on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 xml:space="preserve">s anticipated annual </w:t>
      </w:r>
      <w:r w:rsidR="00766F79">
        <w:rPr>
          <w:rFonts w:ascii="Times New Roman" w:hAnsi="Times New Roman"/>
          <w:sz w:val="20"/>
        </w:rPr>
        <w:t xml:space="preserve">revenue </w:t>
      </w:r>
      <w:r>
        <w:rPr>
          <w:rFonts w:ascii="Times New Roman" w:hAnsi="Times New Roman"/>
          <w:sz w:val="20"/>
        </w:rPr>
        <w:t>or earnings or which may result in a special or extraordinary charge against earnings or capital.</w:t>
      </w:r>
    </w:p>
    <w:p w:rsidR="00C01A5E" w:rsidRDefault="00C01A5E" w:rsidP="00E63C00">
      <w:pPr>
        <w:widowControl/>
        <w:jc w:val="both"/>
        <w:rPr>
          <w:rFonts w:ascii="Times New Roman" w:hAnsi="Times New Roman"/>
          <w:sz w:val="20"/>
        </w:rPr>
      </w:pPr>
    </w:p>
    <w:p w:rsidR="00C01A5E" w:rsidRDefault="00C01A5E" w:rsidP="00E63C00">
      <w:pPr>
        <w:widowControl/>
        <w:ind w:left="720" w:firstLine="720"/>
        <w:jc w:val="both"/>
        <w:rPr>
          <w:rFonts w:ascii="Times New Roman" w:hAnsi="Times New Roman"/>
          <w:sz w:val="20"/>
        </w:rPr>
      </w:pPr>
      <w:r>
        <w:rPr>
          <w:rFonts w:ascii="Times New Roman" w:hAnsi="Times New Roman"/>
          <w:sz w:val="20"/>
        </w:rPr>
        <w:t>(c)</w:t>
      </w:r>
      <w:r>
        <w:rPr>
          <w:rFonts w:ascii="Times New Roman" w:hAnsi="Times New Roman"/>
          <w:sz w:val="20"/>
        </w:rPr>
        <w:tab/>
        <w:t xml:space="preserve">Any </w:t>
      </w:r>
      <w:proofErr w:type="spellStart"/>
      <w:r>
        <w:rPr>
          <w:rFonts w:ascii="Times New Roman" w:hAnsi="Times New Roman"/>
          <w:sz w:val="20"/>
        </w:rPr>
        <w:t>nonroutine</w:t>
      </w:r>
      <w:proofErr w:type="spellEnd"/>
      <w:r>
        <w:rPr>
          <w:rFonts w:ascii="Times New Roman" w:hAnsi="Times New Roman"/>
          <w:sz w:val="20"/>
        </w:rPr>
        <w:t xml:space="preserve"> action or event such as a proposed, merger, acquisition or disposition of shares or assets; new products, projects or initiatives; a change in control or a significant change in management; major financing; significant litigation; significant change in operating or financial circumstances; a tender offer for another company</w:t>
      </w:r>
      <w:r w:rsidR="00E63C00">
        <w:rPr>
          <w:rFonts w:ascii="Times New Roman" w:hAnsi="Times New Roman"/>
          <w:sz w:val="20"/>
        </w:rPr>
        <w:t>'</w:t>
      </w:r>
      <w:r>
        <w:rPr>
          <w:rFonts w:ascii="Times New Roman" w:hAnsi="Times New Roman"/>
          <w:sz w:val="20"/>
        </w:rPr>
        <w:t xml:space="preserve">s securities; and significant changes in the </w:t>
      </w:r>
      <w:r w:rsidR="00CD701D">
        <w:rPr>
          <w:rFonts w:ascii="Times New Roman" w:hAnsi="Times New Roman"/>
          <w:sz w:val="20"/>
        </w:rPr>
        <w:t>Company</w:t>
      </w:r>
      <w:r w:rsidR="00E63C00">
        <w:rPr>
          <w:rFonts w:ascii="Times New Roman" w:hAnsi="Times New Roman"/>
          <w:sz w:val="20"/>
        </w:rPr>
        <w:t>'</w:t>
      </w:r>
      <w:r>
        <w:rPr>
          <w:rFonts w:ascii="Times New Roman" w:hAnsi="Times New Roman"/>
          <w:sz w:val="20"/>
        </w:rPr>
        <w:t>s asset values or lines of business.</w:t>
      </w:r>
    </w:p>
    <w:p w:rsidR="00C62CB7" w:rsidRDefault="00C62CB7" w:rsidP="00C62CB7">
      <w:pPr>
        <w:widowControl/>
        <w:jc w:val="both"/>
        <w:rPr>
          <w:rFonts w:ascii="Times New Roman" w:hAnsi="Times New Roman"/>
          <w:sz w:val="20"/>
        </w:rPr>
      </w:pPr>
    </w:p>
    <w:p w:rsidR="00C62CB7" w:rsidRPr="00CA6179" w:rsidRDefault="00C62CB7" w:rsidP="00F8435C">
      <w:pPr>
        <w:widowControl/>
        <w:jc w:val="center"/>
        <w:rPr>
          <w:rFonts w:ascii="Times New Roman" w:hAnsi="Times New Roman"/>
          <w:b/>
          <w:sz w:val="20"/>
        </w:rPr>
      </w:pPr>
      <w:r w:rsidRPr="00CA6179">
        <w:rPr>
          <w:rFonts w:ascii="Times New Roman" w:hAnsi="Times New Roman"/>
          <w:b/>
          <w:sz w:val="20"/>
          <w:u w:val="single"/>
        </w:rPr>
        <w:t>Prohibited Transactions</w:t>
      </w:r>
    </w:p>
    <w:p w:rsidR="00C62CB7" w:rsidRDefault="00C62CB7" w:rsidP="00F8435C">
      <w:pPr>
        <w:widowControl/>
        <w:rPr>
          <w:rFonts w:ascii="Times New Roman" w:hAnsi="Times New Roman"/>
          <w:sz w:val="20"/>
        </w:rPr>
      </w:pPr>
    </w:p>
    <w:p w:rsidR="00CA6179" w:rsidRDefault="00C62CB7" w:rsidP="00F8435C">
      <w:pPr>
        <w:widowControl/>
        <w:jc w:val="both"/>
        <w:rPr>
          <w:rFonts w:ascii="Times New Roman" w:hAnsi="Times New Roman"/>
          <w:sz w:val="20"/>
        </w:rPr>
      </w:pPr>
      <w:r>
        <w:rPr>
          <w:rFonts w:ascii="Times New Roman" w:hAnsi="Times New Roman"/>
          <w:sz w:val="20"/>
          <w:u w:val="single"/>
        </w:rPr>
        <w:t>Pledge of Company Securities</w:t>
      </w:r>
      <w:r>
        <w:rPr>
          <w:rFonts w:ascii="Times New Roman" w:hAnsi="Times New Roman"/>
          <w:sz w:val="20"/>
        </w:rPr>
        <w:t xml:space="preserve">.  </w:t>
      </w:r>
    </w:p>
    <w:p w:rsidR="00CA6179" w:rsidRDefault="00CA6179" w:rsidP="00CA6179">
      <w:pPr>
        <w:widowControl/>
        <w:jc w:val="both"/>
        <w:rPr>
          <w:rFonts w:ascii="Times New Roman" w:hAnsi="Times New Roman"/>
          <w:sz w:val="20"/>
        </w:rPr>
      </w:pPr>
    </w:p>
    <w:p w:rsidR="00C62CB7" w:rsidRDefault="00C62CB7" w:rsidP="00CA6179">
      <w:pPr>
        <w:widowControl/>
        <w:ind w:firstLine="720"/>
        <w:jc w:val="both"/>
        <w:rPr>
          <w:rFonts w:ascii="Times New Roman" w:hAnsi="Times New Roman"/>
          <w:sz w:val="20"/>
        </w:rPr>
      </w:pPr>
      <w:r>
        <w:rPr>
          <w:rFonts w:ascii="Times New Roman" w:hAnsi="Times New Roman"/>
          <w:sz w:val="20"/>
        </w:rPr>
        <w:t xml:space="preserve">The pledge or use of Company's Stock as collateral for a loan creates the potential for those pledged securities to be sold or transferred at </w:t>
      </w:r>
      <w:r w:rsidR="00D136CF">
        <w:rPr>
          <w:rFonts w:ascii="Times New Roman" w:hAnsi="Times New Roman"/>
          <w:sz w:val="20"/>
        </w:rPr>
        <w:t xml:space="preserve">a time when such a transaction is otherwise prohibited or discouraged.  Accordingly, unless approved in advance by the Board of Directors, </w:t>
      </w:r>
      <w:r w:rsidR="00CA6179">
        <w:rPr>
          <w:rFonts w:ascii="Times New Roman" w:hAnsi="Times New Roman"/>
          <w:sz w:val="20"/>
        </w:rPr>
        <w:t>d</w:t>
      </w:r>
      <w:r w:rsidR="00D136CF">
        <w:rPr>
          <w:rFonts w:ascii="Times New Roman" w:hAnsi="Times New Roman"/>
          <w:sz w:val="20"/>
        </w:rPr>
        <w:t xml:space="preserve">irectors and Section 16 </w:t>
      </w:r>
      <w:r w:rsidR="00CA6179">
        <w:rPr>
          <w:rFonts w:ascii="Times New Roman" w:hAnsi="Times New Roman"/>
          <w:sz w:val="20"/>
        </w:rPr>
        <w:t>o</w:t>
      </w:r>
      <w:r w:rsidR="00D136CF">
        <w:rPr>
          <w:rFonts w:ascii="Times New Roman" w:hAnsi="Times New Roman"/>
          <w:sz w:val="20"/>
        </w:rPr>
        <w:t>fficer</w:t>
      </w:r>
      <w:r w:rsidR="00480DC6">
        <w:rPr>
          <w:rFonts w:ascii="Times New Roman" w:hAnsi="Times New Roman"/>
          <w:sz w:val="20"/>
        </w:rPr>
        <w:t>s</w:t>
      </w:r>
      <w:r w:rsidR="00D136CF">
        <w:rPr>
          <w:rFonts w:ascii="Times New Roman" w:hAnsi="Times New Roman"/>
          <w:sz w:val="20"/>
        </w:rPr>
        <w:t xml:space="preserve"> of the Company may not pledge </w:t>
      </w:r>
      <w:r w:rsidR="00D136CF">
        <w:rPr>
          <w:rFonts w:ascii="Times New Roman" w:hAnsi="Times New Roman"/>
          <w:sz w:val="20"/>
        </w:rPr>
        <w:lastRenderedPageBreak/>
        <w:t xml:space="preserve">Company </w:t>
      </w:r>
      <w:r w:rsidR="00480DC6">
        <w:rPr>
          <w:rFonts w:ascii="Times New Roman" w:hAnsi="Times New Roman"/>
          <w:sz w:val="20"/>
        </w:rPr>
        <w:t>s</w:t>
      </w:r>
      <w:r w:rsidR="00D136CF">
        <w:rPr>
          <w:rFonts w:ascii="Times New Roman" w:hAnsi="Times New Roman"/>
          <w:sz w:val="20"/>
        </w:rPr>
        <w:t xml:space="preserve">ecurities as collateral for loans or otherwise hold such securities in a margin account with a broker or financial institution. </w:t>
      </w:r>
    </w:p>
    <w:p w:rsidR="00D136CF" w:rsidRDefault="00D136CF" w:rsidP="00F8435C">
      <w:pPr>
        <w:widowControl/>
        <w:ind w:firstLine="720"/>
        <w:jc w:val="both"/>
        <w:rPr>
          <w:rFonts w:ascii="Times New Roman" w:hAnsi="Times New Roman"/>
          <w:sz w:val="20"/>
        </w:rPr>
      </w:pPr>
    </w:p>
    <w:p w:rsidR="00CA6179" w:rsidRDefault="00D136CF" w:rsidP="00F8435C">
      <w:pPr>
        <w:widowControl/>
        <w:jc w:val="both"/>
        <w:rPr>
          <w:rFonts w:ascii="Times New Roman" w:hAnsi="Times New Roman"/>
          <w:sz w:val="20"/>
        </w:rPr>
      </w:pPr>
      <w:r>
        <w:rPr>
          <w:rFonts w:ascii="Times New Roman" w:hAnsi="Times New Roman"/>
          <w:sz w:val="20"/>
          <w:u w:val="single"/>
        </w:rPr>
        <w:t>Hedging Transactions</w:t>
      </w:r>
      <w:r>
        <w:rPr>
          <w:rFonts w:ascii="Times New Roman" w:hAnsi="Times New Roman"/>
          <w:sz w:val="20"/>
        </w:rPr>
        <w:t xml:space="preserve">.  </w:t>
      </w:r>
    </w:p>
    <w:p w:rsidR="00CA6179" w:rsidRDefault="00CA6179" w:rsidP="00CA6179">
      <w:pPr>
        <w:widowControl/>
        <w:jc w:val="both"/>
        <w:rPr>
          <w:rFonts w:ascii="Times New Roman" w:hAnsi="Times New Roman"/>
          <w:sz w:val="20"/>
        </w:rPr>
      </w:pPr>
    </w:p>
    <w:p w:rsidR="00D136CF" w:rsidRPr="00F8435C" w:rsidRDefault="00D136CF" w:rsidP="00CA6179">
      <w:pPr>
        <w:widowControl/>
        <w:ind w:firstLine="720"/>
        <w:jc w:val="both"/>
        <w:rPr>
          <w:rFonts w:ascii="Times New Roman" w:hAnsi="Times New Roman"/>
          <w:sz w:val="20"/>
        </w:rPr>
      </w:pPr>
      <w:r>
        <w:rPr>
          <w:rFonts w:ascii="Times New Roman" w:hAnsi="Times New Roman"/>
          <w:sz w:val="20"/>
        </w:rPr>
        <w:t>In general, hedging transactions allow a person to continue to own the</w:t>
      </w:r>
      <w:r w:rsidR="00480DC6">
        <w:rPr>
          <w:rFonts w:ascii="Times New Roman" w:hAnsi="Times New Roman"/>
          <w:sz w:val="20"/>
        </w:rPr>
        <w:t xml:space="preserve"> underlying</w:t>
      </w:r>
      <w:r>
        <w:rPr>
          <w:rFonts w:ascii="Times New Roman" w:hAnsi="Times New Roman"/>
          <w:sz w:val="20"/>
        </w:rPr>
        <w:t xml:space="preserve"> securities but without the full risk</w:t>
      </w:r>
      <w:r w:rsidR="00480DC6">
        <w:rPr>
          <w:rFonts w:ascii="Times New Roman" w:hAnsi="Times New Roman"/>
          <w:sz w:val="20"/>
        </w:rPr>
        <w:t>s</w:t>
      </w:r>
      <w:r>
        <w:rPr>
          <w:rFonts w:ascii="Times New Roman" w:hAnsi="Times New Roman"/>
          <w:sz w:val="20"/>
        </w:rPr>
        <w:t xml:space="preserve"> and rewards of ownership.  Hedging may involve the purchase of financial instruments that are designed to "hedge" or offset any decrease in the market value of the underlying securities. Because these transactions may create incentives that are not aligned with the best interests of the Company's shareholders, </w:t>
      </w:r>
      <w:r w:rsidR="00CA6179">
        <w:rPr>
          <w:rFonts w:ascii="Times New Roman" w:hAnsi="Times New Roman"/>
          <w:sz w:val="20"/>
        </w:rPr>
        <w:t>d</w:t>
      </w:r>
      <w:r>
        <w:rPr>
          <w:rFonts w:ascii="Times New Roman" w:hAnsi="Times New Roman"/>
          <w:sz w:val="20"/>
        </w:rPr>
        <w:t xml:space="preserve">irectors and Section 16 </w:t>
      </w:r>
      <w:r w:rsidR="00CA6179">
        <w:rPr>
          <w:rFonts w:ascii="Times New Roman" w:hAnsi="Times New Roman"/>
          <w:sz w:val="20"/>
        </w:rPr>
        <w:t>o</w:t>
      </w:r>
      <w:r>
        <w:rPr>
          <w:rFonts w:ascii="Times New Roman" w:hAnsi="Times New Roman"/>
          <w:sz w:val="20"/>
        </w:rPr>
        <w:t>fficers are prohibited from engaging in any hedging transactions involving the Company's securities.</w:t>
      </w:r>
    </w:p>
    <w:p w:rsidR="00F60741" w:rsidRDefault="00F60741" w:rsidP="00F8435C">
      <w:pPr>
        <w:widowControl/>
        <w:jc w:val="both"/>
        <w:rPr>
          <w:rFonts w:ascii="Times New Roman" w:hAnsi="Times New Roman"/>
          <w:sz w:val="16"/>
          <w:szCs w:val="16"/>
        </w:rPr>
      </w:pPr>
    </w:p>
    <w:p w:rsidR="00C62CB7" w:rsidRDefault="00C62CB7" w:rsidP="00825CD6">
      <w:pPr>
        <w:widowControl/>
        <w:jc w:val="both"/>
        <w:rPr>
          <w:rFonts w:ascii="Times New Roman" w:hAnsi="Times New Roman"/>
          <w:sz w:val="16"/>
          <w:szCs w:val="16"/>
        </w:rPr>
      </w:pPr>
    </w:p>
    <w:p w:rsidR="00825CD6" w:rsidRDefault="00825CD6" w:rsidP="00825CD6">
      <w:pPr>
        <w:widowControl/>
        <w:jc w:val="both"/>
        <w:rPr>
          <w:rFonts w:ascii="Times New Roman" w:hAnsi="Times New Roman"/>
          <w:sz w:val="16"/>
          <w:szCs w:val="16"/>
        </w:rPr>
      </w:pPr>
    </w:p>
    <w:p w:rsidR="00825CD6" w:rsidRPr="00825CD6" w:rsidRDefault="00825CD6" w:rsidP="00825CD6">
      <w:pPr>
        <w:widowControl/>
        <w:jc w:val="both"/>
        <w:rPr>
          <w:sz w:val="16"/>
          <w:szCs w:val="16"/>
        </w:rPr>
      </w:pPr>
      <w:r w:rsidRPr="00825CD6">
        <w:rPr>
          <w:rFonts w:ascii="Times New Roman" w:hAnsi="Times New Roman"/>
          <w:noProof/>
          <w:sz w:val="16"/>
          <w:szCs w:val="16"/>
        </w:rPr>
        <w:t>10248734_</w:t>
      </w:r>
      <w:r w:rsidR="00472F4F">
        <w:rPr>
          <w:rFonts w:ascii="Times New Roman" w:hAnsi="Times New Roman"/>
          <w:noProof/>
          <w:sz w:val="16"/>
          <w:szCs w:val="16"/>
        </w:rPr>
        <w:t>3</w:t>
      </w:r>
    </w:p>
    <w:sectPr w:rsidR="00825CD6" w:rsidRPr="00825CD6" w:rsidSect="004C0623">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A73" w:rsidRDefault="00152A73">
      <w:r>
        <w:separator/>
      </w:r>
    </w:p>
  </w:endnote>
  <w:endnote w:type="continuationSeparator" w:id="0">
    <w:p w:rsidR="00152A73" w:rsidRDefault="0015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D6" w:rsidRDefault="008C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5E" w:rsidRDefault="00C01A5E">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10B7E">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D6" w:rsidRDefault="008C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A73" w:rsidRDefault="00152A73">
      <w:r>
        <w:separator/>
      </w:r>
    </w:p>
  </w:footnote>
  <w:footnote w:type="continuationSeparator" w:id="0">
    <w:p w:rsidR="00152A73" w:rsidRDefault="0015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D6" w:rsidRDefault="008C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4" w:rsidRPr="00F8435C" w:rsidRDefault="005B3BD4" w:rsidP="00F8435C">
    <w:pPr>
      <w:pStyle w:val="Header"/>
      <w:spacing w:line="180" w:lineRule="auto"/>
      <w:rPr>
        <w:b/>
        <w:sz w:val="20"/>
      </w:rPr>
    </w:pPr>
    <w:r w:rsidRPr="00F8435C">
      <w:rPr>
        <w:b/>
        <w:sz w:val="20"/>
      </w:rPr>
      <w:t>Independent Bank Corporation</w:t>
    </w:r>
    <w:r w:rsidRPr="00F8435C">
      <w:rPr>
        <w:b/>
        <w:sz w:val="20"/>
      </w:rPr>
      <w:tab/>
    </w:r>
    <w:r w:rsidRPr="00F8435C">
      <w:rPr>
        <w:b/>
        <w:sz w:val="20"/>
      </w:rPr>
      <w:tab/>
    </w:r>
    <w:r w:rsidRPr="00F8435C">
      <w:rPr>
        <w:b/>
        <w:sz w:val="20"/>
      </w:rPr>
      <w:tab/>
    </w:r>
  </w:p>
  <w:p w:rsidR="00CA6179" w:rsidRPr="00F8435C" w:rsidRDefault="00CA6179" w:rsidP="00F8435C">
    <w:pPr>
      <w:pStyle w:val="Header"/>
      <w:tabs>
        <w:tab w:val="left" w:pos="1890"/>
      </w:tabs>
      <w:spacing w:line="180" w:lineRule="auto"/>
      <w:rPr>
        <w:b/>
        <w:sz w:val="20"/>
        <w:u w:val="double"/>
      </w:rPr>
    </w:pPr>
    <w:r w:rsidRPr="00F8435C">
      <w:rPr>
        <w:b/>
        <w:sz w:val="20"/>
        <w:u w:val="double"/>
      </w:rPr>
      <w:tab/>
    </w:r>
    <w:r w:rsidRPr="00F8435C">
      <w:rPr>
        <w:b/>
        <w:sz w:val="20"/>
        <w:u w:val="double"/>
      </w:rPr>
      <w:tab/>
    </w:r>
    <w:r w:rsidRPr="00F8435C">
      <w:rPr>
        <w:b/>
        <w:sz w:val="20"/>
        <w:u w:val="double"/>
      </w:rPr>
      <w:tab/>
    </w:r>
    <w:r w:rsidRPr="00F8435C">
      <w:rPr>
        <w:b/>
        <w:sz w:val="20"/>
        <w:u w:val="double"/>
      </w:rPr>
      <w:tab/>
    </w:r>
  </w:p>
  <w:p w:rsidR="005B3BD4" w:rsidRDefault="005B3BD4" w:rsidP="005B3BD4">
    <w:pPr>
      <w:pStyle w:val="Header"/>
      <w:tabs>
        <w:tab w:val="left" w:pos="1890"/>
      </w:tabs>
      <w:spacing w:line="276" w:lineRule="auto"/>
      <w:rPr>
        <w:b/>
        <w:sz w:val="20"/>
      </w:rPr>
    </w:pPr>
    <w:r w:rsidRPr="005B3BD4">
      <w:rPr>
        <w:b/>
        <w:sz w:val="20"/>
      </w:rPr>
      <w:t>Approved By:</w:t>
    </w:r>
    <w:r w:rsidRPr="005B3BD4">
      <w:rPr>
        <w:b/>
        <w:sz w:val="20"/>
      </w:rPr>
      <w:tab/>
      <w:t>Board of Directors</w:t>
    </w:r>
  </w:p>
  <w:p w:rsidR="005B3BD4" w:rsidRPr="00F8435C" w:rsidRDefault="005B3BD4" w:rsidP="00F8435C">
    <w:pPr>
      <w:pStyle w:val="Header"/>
      <w:tabs>
        <w:tab w:val="clear" w:pos="8640"/>
        <w:tab w:val="left" w:pos="1890"/>
        <w:tab w:val="right" w:pos="9270"/>
      </w:tabs>
      <w:spacing w:line="180" w:lineRule="auto"/>
      <w:rPr>
        <w:b/>
        <w:sz w:val="20"/>
      </w:rPr>
    </w:pPr>
    <w:r w:rsidRPr="00F8435C">
      <w:rPr>
        <w:b/>
        <w:sz w:val="20"/>
      </w:rPr>
      <w:t>Last Revised Date:</w:t>
    </w:r>
    <w:r w:rsidRPr="00F8435C">
      <w:rPr>
        <w:b/>
        <w:sz w:val="20"/>
      </w:rPr>
      <w:tab/>
    </w:r>
    <w:r w:rsidR="003365C6">
      <w:rPr>
        <w:b/>
        <w:sz w:val="20"/>
      </w:rPr>
      <w:t xml:space="preserve"> Aril </w:t>
    </w:r>
    <w:r w:rsidR="008C65D6">
      <w:rPr>
        <w:b/>
        <w:sz w:val="20"/>
      </w:rPr>
      <w:t>20</w:t>
    </w:r>
    <w:r w:rsidR="003365C6">
      <w:rPr>
        <w:b/>
        <w:sz w:val="20"/>
      </w:rPr>
      <w:t xml:space="preserve">, </w:t>
    </w:r>
    <w:r w:rsidR="008C65D6">
      <w:rPr>
        <w:b/>
        <w:sz w:val="20"/>
      </w:rPr>
      <w:t>2021</w:t>
    </w:r>
    <w:r w:rsidR="006D0F3E">
      <w:rPr>
        <w:b/>
        <w:sz w:val="20"/>
      </w:rPr>
      <w:tab/>
    </w:r>
    <w:r w:rsidR="00127E81">
      <w:rPr>
        <w:b/>
        <w:sz w:val="20"/>
      </w:rPr>
      <w:t xml:space="preserve"> </w:t>
    </w:r>
    <w:r w:rsidRPr="00F8435C">
      <w:rPr>
        <w:b/>
        <w:sz w:val="20"/>
      </w:rPr>
      <w:tab/>
      <w:t xml:space="preserve">Approval Date: </w:t>
    </w:r>
    <w:r w:rsidR="007C37C9">
      <w:rPr>
        <w:b/>
        <w:sz w:val="20"/>
      </w:rPr>
      <w:t xml:space="preserve"> </w:t>
    </w:r>
    <w:r w:rsidR="001F2A68">
      <w:rPr>
        <w:b/>
        <w:sz w:val="20"/>
      </w:rPr>
      <w:t xml:space="preserve">April </w:t>
    </w:r>
    <w:r w:rsidR="008C65D6">
      <w:rPr>
        <w:b/>
        <w:sz w:val="20"/>
      </w:rPr>
      <w:t>19</w:t>
    </w:r>
    <w:r w:rsidR="00127E81">
      <w:rPr>
        <w:b/>
        <w:sz w:val="20"/>
      </w:rPr>
      <w:t xml:space="preserve">, </w:t>
    </w:r>
    <w:r w:rsidR="008C65D6">
      <w:rPr>
        <w:b/>
        <w:sz w:val="20"/>
      </w:rPr>
      <w:t>2022</w:t>
    </w:r>
  </w:p>
  <w:p w:rsidR="005B3BD4" w:rsidRDefault="001B6BA6" w:rsidP="00F8435C">
    <w:pPr>
      <w:pStyle w:val="Header"/>
      <w:tabs>
        <w:tab w:val="clear" w:pos="8640"/>
        <w:tab w:val="left" w:pos="1890"/>
        <w:tab w:val="right" w:pos="9270"/>
      </w:tabs>
      <w:spacing w:line="180" w:lineRule="auto"/>
      <w:rPr>
        <w:b/>
        <w:sz w:val="20"/>
        <w:u w:val="double"/>
      </w:rPr>
    </w:pPr>
    <w:r w:rsidRPr="00F8435C">
      <w:rPr>
        <w:b/>
        <w:sz w:val="20"/>
        <w:u w:val="double"/>
      </w:rPr>
      <w:tab/>
    </w:r>
    <w:r w:rsidRPr="00F8435C">
      <w:rPr>
        <w:b/>
        <w:sz w:val="20"/>
        <w:u w:val="double"/>
      </w:rPr>
      <w:tab/>
    </w:r>
    <w:r w:rsidRPr="00F8435C">
      <w:rPr>
        <w:b/>
        <w:sz w:val="20"/>
        <w:u w:val="double"/>
      </w:rPr>
      <w:tab/>
    </w:r>
    <w:r w:rsidRPr="00F8435C">
      <w:rPr>
        <w:b/>
        <w:sz w:val="20"/>
        <w:u w:val="double"/>
      </w:rPr>
      <w:tab/>
    </w:r>
  </w:p>
  <w:p w:rsidR="001B6BA6" w:rsidRPr="00F8435C" w:rsidRDefault="001B6BA6" w:rsidP="005B3BD4">
    <w:pPr>
      <w:pStyle w:val="Header"/>
      <w:tabs>
        <w:tab w:val="clear" w:pos="8640"/>
        <w:tab w:val="left" w:pos="1890"/>
        <w:tab w:val="right" w:pos="9270"/>
      </w:tabs>
      <w:rPr>
        <w:b/>
        <w:sz w:val="20"/>
        <w:u w:val="doub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D6" w:rsidRDefault="008C6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5E"/>
    <w:rsid w:val="00025269"/>
    <w:rsid w:val="00066BE4"/>
    <w:rsid w:val="00127E81"/>
    <w:rsid w:val="00152A73"/>
    <w:rsid w:val="001B6BA6"/>
    <w:rsid w:val="001C4EA1"/>
    <w:rsid w:val="001E7F62"/>
    <w:rsid w:val="001F2A68"/>
    <w:rsid w:val="002847FE"/>
    <w:rsid w:val="00311C41"/>
    <w:rsid w:val="003365C6"/>
    <w:rsid w:val="00472F4F"/>
    <w:rsid w:val="00477126"/>
    <w:rsid w:val="00480DC6"/>
    <w:rsid w:val="004C0623"/>
    <w:rsid w:val="00510B7E"/>
    <w:rsid w:val="005B3BD4"/>
    <w:rsid w:val="006D0F3E"/>
    <w:rsid w:val="00766F79"/>
    <w:rsid w:val="007C37C9"/>
    <w:rsid w:val="007D2106"/>
    <w:rsid w:val="00825CD6"/>
    <w:rsid w:val="008C65D6"/>
    <w:rsid w:val="009723F1"/>
    <w:rsid w:val="009C4F3D"/>
    <w:rsid w:val="00AB723A"/>
    <w:rsid w:val="00AF2CAD"/>
    <w:rsid w:val="00BB12C4"/>
    <w:rsid w:val="00C01A5E"/>
    <w:rsid w:val="00C62CB7"/>
    <w:rsid w:val="00CA6179"/>
    <w:rsid w:val="00CD701D"/>
    <w:rsid w:val="00CF66F9"/>
    <w:rsid w:val="00D136CF"/>
    <w:rsid w:val="00DC5D9E"/>
    <w:rsid w:val="00E63C00"/>
    <w:rsid w:val="00F60741"/>
    <w:rsid w:val="00F8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6541E16B-51C5-42AB-94E4-B9AD1752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msRmn" w:hAnsi="TmsRmn"/>
      <w:snapToGrid w:val="0"/>
      <w:sz w:val="24"/>
    </w:rPr>
  </w:style>
  <w:style w:type="paragraph" w:styleId="Heading1">
    <w:name w:val="heading 1"/>
    <w:basedOn w:val="Normal"/>
    <w:next w:val="Normal"/>
    <w:qFormat/>
    <w:pPr>
      <w:keepNext/>
      <w:widowControl/>
      <w:jc w:val="center"/>
      <w:outlineLvl w:val="0"/>
    </w:pPr>
    <w:rPr>
      <w:rFonts w:ascii="Times New Roman" w:hAnsi="Times New Roman"/>
      <w:b/>
      <w:sz w:val="32"/>
    </w:rPr>
  </w:style>
  <w:style w:type="paragraph" w:styleId="Heading2">
    <w:name w:val="heading 2"/>
    <w:basedOn w:val="Normal"/>
    <w:next w:val="Normal"/>
    <w:qFormat/>
    <w:pPr>
      <w:keepNext/>
      <w:widowControl/>
      <w:tabs>
        <w:tab w:val="center" w:pos="4680"/>
      </w:tabs>
      <w:jc w:val="center"/>
      <w:outlineLvl w:val="1"/>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jc w:val="both"/>
    </w:pPr>
    <w:rPr>
      <w:rFonts w:ascii="Times New Roman" w:hAnsi="Times New Roman"/>
      <w:sz w:val="20"/>
    </w:rPr>
  </w:style>
  <w:style w:type="paragraph" w:styleId="BodyText">
    <w:name w:val="Body Text"/>
    <w:basedOn w:val="Normal"/>
    <w:pPr>
      <w:widowControl/>
      <w:jc w:val="both"/>
    </w:pPr>
    <w:rPr>
      <w:rFonts w:ascii="Times New Roman" w:hAnsi="Times New Roman"/>
      <w:snapToGrid/>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5B3BD4"/>
    <w:rPr>
      <w:rFonts w:ascii="TmsRmn" w:hAnsi="TmsRmn"/>
      <w:snapToGrid w:val="0"/>
      <w:sz w:val="24"/>
    </w:rPr>
  </w:style>
  <w:style w:type="paragraph" w:styleId="BalloonText">
    <w:name w:val="Balloon Text"/>
    <w:basedOn w:val="Normal"/>
    <w:link w:val="BalloonTextChar"/>
    <w:uiPriority w:val="99"/>
    <w:semiHidden/>
    <w:unhideWhenUsed/>
    <w:rsid w:val="008C6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D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1219</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TOWER AUTOMOTIVE</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AUTOMOTIVE</dc:title>
  <dc:subject/>
  <dc:creator>Corp</dc:creator>
  <cp:keywords/>
  <dc:description/>
  <cp:lastModifiedBy>Anderson, Lisa</cp:lastModifiedBy>
  <cp:revision>3</cp:revision>
  <cp:lastPrinted>2016-02-16T18:40:00Z</cp:lastPrinted>
  <dcterms:created xsi:type="dcterms:W3CDTF">2022-04-14T21:47:00Z</dcterms:created>
  <dcterms:modified xsi:type="dcterms:W3CDTF">2022-04-25T19:00:00Z</dcterms:modified>
</cp:coreProperties>
</file>